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8A3967" w14:paraId="236B393A" w14:textId="77777777">
        <w:tblPrEx>
          <w:tblCellMar>
            <w:top w:w="0" w:type="dxa"/>
            <w:bottom w:w="0" w:type="dxa"/>
          </w:tblCellMar>
        </w:tblPrEx>
        <w:trPr>
          <w:tblCellSpacing w:w="60" w:type="dxa"/>
        </w:trPr>
        <w:tc>
          <w:tcPr>
            <w:tcW w:w="1200" w:type="pct"/>
            <w:shd w:val="clear" w:color="auto" w:fill="E7F0F9"/>
          </w:tcPr>
          <w:p w14:paraId="7FCE80C7" w14:textId="77777777" w:rsidR="008A3967" w:rsidRDefault="00000000">
            <w:pPr>
              <w:spacing w:after="0" w:line="240" w:lineRule="auto"/>
            </w:pPr>
            <w:r>
              <w:rPr>
                <w:b/>
              </w:rPr>
              <w:t>RKP broj</w:t>
            </w:r>
          </w:p>
        </w:tc>
        <w:tc>
          <w:tcPr>
            <w:tcW w:w="0" w:type="auto"/>
            <w:shd w:val="clear" w:color="auto" w:fill="E7F0F9"/>
          </w:tcPr>
          <w:p w14:paraId="302F58B7" w14:textId="77777777" w:rsidR="008A3967" w:rsidRDefault="00000000">
            <w:pPr>
              <w:spacing w:after="0" w:line="240" w:lineRule="auto"/>
            </w:pPr>
            <w:r>
              <w:t>35468</w:t>
            </w:r>
          </w:p>
        </w:tc>
      </w:tr>
      <w:tr w:rsidR="008A3967" w14:paraId="2546356A" w14:textId="77777777">
        <w:tblPrEx>
          <w:tblCellMar>
            <w:top w:w="0" w:type="dxa"/>
            <w:bottom w:w="0" w:type="dxa"/>
          </w:tblCellMar>
        </w:tblPrEx>
        <w:trPr>
          <w:tblCellSpacing w:w="60" w:type="dxa"/>
        </w:trPr>
        <w:tc>
          <w:tcPr>
            <w:tcW w:w="1200" w:type="pct"/>
            <w:shd w:val="clear" w:color="auto" w:fill="E7F0F9"/>
          </w:tcPr>
          <w:p w14:paraId="637F2A41" w14:textId="77777777" w:rsidR="008A3967" w:rsidRDefault="00000000">
            <w:pPr>
              <w:spacing w:after="0" w:line="240" w:lineRule="auto"/>
            </w:pPr>
            <w:r>
              <w:rPr>
                <w:b/>
              </w:rPr>
              <w:t>Naziv obveznika</w:t>
            </w:r>
          </w:p>
        </w:tc>
        <w:tc>
          <w:tcPr>
            <w:tcW w:w="0" w:type="auto"/>
            <w:shd w:val="clear" w:color="auto" w:fill="E7F0F9"/>
          </w:tcPr>
          <w:p w14:paraId="2084E4B2" w14:textId="77777777" w:rsidR="008A3967" w:rsidRDefault="00000000">
            <w:pPr>
              <w:spacing w:after="0" w:line="240" w:lineRule="auto"/>
            </w:pPr>
            <w:r>
              <w:t>OPĆINA ČEPIN</w:t>
            </w:r>
          </w:p>
        </w:tc>
      </w:tr>
      <w:tr w:rsidR="008A3967" w14:paraId="4B05B3C0" w14:textId="77777777">
        <w:tblPrEx>
          <w:tblCellMar>
            <w:top w:w="0" w:type="dxa"/>
            <w:bottom w:w="0" w:type="dxa"/>
          </w:tblCellMar>
        </w:tblPrEx>
        <w:trPr>
          <w:tblCellSpacing w:w="60" w:type="dxa"/>
        </w:trPr>
        <w:tc>
          <w:tcPr>
            <w:tcW w:w="1200" w:type="pct"/>
            <w:shd w:val="clear" w:color="auto" w:fill="E7F0F9"/>
          </w:tcPr>
          <w:p w14:paraId="117BF88E" w14:textId="77777777" w:rsidR="008A3967" w:rsidRDefault="00000000">
            <w:pPr>
              <w:spacing w:after="0" w:line="240" w:lineRule="auto"/>
            </w:pPr>
            <w:r>
              <w:rPr>
                <w:b/>
              </w:rPr>
              <w:t>Razina</w:t>
            </w:r>
          </w:p>
        </w:tc>
        <w:tc>
          <w:tcPr>
            <w:tcW w:w="0" w:type="auto"/>
            <w:shd w:val="clear" w:color="auto" w:fill="E7F0F9"/>
          </w:tcPr>
          <w:p w14:paraId="5BFB1948" w14:textId="77777777" w:rsidR="008A3967" w:rsidRDefault="00000000">
            <w:pPr>
              <w:spacing w:after="0" w:line="240" w:lineRule="auto"/>
            </w:pPr>
            <w:r>
              <w:t>23</w:t>
            </w:r>
          </w:p>
        </w:tc>
      </w:tr>
    </w:tbl>
    <w:p w14:paraId="34CDA95D" w14:textId="77777777" w:rsidR="008A3967" w:rsidRDefault="00000000">
      <w:r>
        <w:br/>
      </w:r>
    </w:p>
    <w:p w14:paraId="50E71BBE" w14:textId="77777777" w:rsidR="008A3967" w:rsidRDefault="00000000">
      <w:pPr>
        <w:spacing w:line="240" w:lineRule="auto"/>
        <w:jc w:val="center"/>
      </w:pPr>
      <w:r>
        <w:rPr>
          <w:b/>
          <w:sz w:val="28"/>
        </w:rPr>
        <w:t>BILJEŠKE UZ FINANCIJSKE IZVJEŠTAJE</w:t>
      </w:r>
    </w:p>
    <w:p w14:paraId="4D202263" w14:textId="77777777" w:rsidR="008A3967" w:rsidRDefault="00000000">
      <w:pPr>
        <w:spacing w:line="240" w:lineRule="auto"/>
        <w:jc w:val="center"/>
      </w:pPr>
      <w:r>
        <w:rPr>
          <w:b/>
          <w:sz w:val="28"/>
        </w:rPr>
        <w:t>ZA RAZDOBLJE</w:t>
      </w:r>
    </w:p>
    <w:p w14:paraId="64D40C0D" w14:textId="77777777" w:rsidR="008A3967" w:rsidRDefault="00000000">
      <w:pPr>
        <w:spacing w:line="240" w:lineRule="auto"/>
        <w:jc w:val="center"/>
      </w:pPr>
      <w:r>
        <w:rPr>
          <w:b/>
          <w:sz w:val="28"/>
        </w:rPr>
        <w:t>I - VI 2025.</w:t>
      </w:r>
    </w:p>
    <w:p w14:paraId="35DF31A1" w14:textId="77777777" w:rsidR="008A3967" w:rsidRDefault="008A3967"/>
    <w:p w14:paraId="4E7FBE56" w14:textId="77777777" w:rsidR="008A3967" w:rsidRDefault="00000000">
      <w:pPr>
        <w:keepNext/>
        <w:spacing w:line="240" w:lineRule="auto"/>
        <w:jc w:val="center"/>
      </w:pPr>
      <w:r>
        <w:rPr>
          <w:b/>
          <w:sz w:val="28"/>
        </w:rPr>
        <w:t>Izvještaj o prihodima i rashodima, primicima i izdacima</w:t>
      </w:r>
    </w:p>
    <w:p w14:paraId="15B5C2B6" w14:textId="77777777" w:rsidR="008A3967"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A3967" w14:paraId="05CB1C7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8FB6EF2" w14:textId="77777777" w:rsidR="008A396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DC27E8" w14:textId="77777777" w:rsidR="008A396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8F3E1FE" w14:textId="77777777" w:rsidR="008A396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31D0FF" w14:textId="77777777" w:rsidR="008A3967"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52BAD10" w14:textId="77777777" w:rsidR="008A3967"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79B2444" w14:textId="77777777" w:rsidR="008A3967" w:rsidRDefault="00000000">
            <w:pPr>
              <w:keepNext/>
              <w:keepLines/>
              <w:spacing w:after="0" w:line="240" w:lineRule="auto"/>
              <w:jc w:val="center"/>
            </w:pPr>
            <w:r>
              <w:rPr>
                <w:b/>
                <w:sz w:val="18"/>
              </w:rPr>
              <w:t>Indeks (%)</w:t>
            </w:r>
          </w:p>
        </w:tc>
      </w:tr>
      <w:tr w:rsidR="008A3967" w14:paraId="4318F3B9" w14:textId="77777777">
        <w:tblPrEx>
          <w:tblCellMar>
            <w:top w:w="0" w:type="dxa"/>
            <w:bottom w:w="0" w:type="dxa"/>
          </w:tblCellMar>
        </w:tblPrEx>
        <w:trPr>
          <w:cantSplit/>
          <w:trHeight w:val="560"/>
        </w:trPr>
        <w:tc>
          <w:tcPr>
            <w:tcW w:w="700" w:type="dxa"/>
            <w:tcMar>
              <w:top w:w="0" w:type="dxa"/>
              <w:bottom w:w="0" w:type="dxa"/>
            </w:tcMar>
            <w:vAlign w:val="center"/>
          </w:tcPr>
          <w:p w14:paraId="5C0F0FCA" w14:textId="77777777" w:rsidR="008A3967" w:rsidRDefault="00000000">
            <w:pPr>
              <w:keepNext/>
              <w:keepLines/>
              <w:spacing w:after="0" w:line="240" w:lineRule="auto"/>
            </w:pPr>
            <w:r>
              <w:rPr>
                <w:sz w:val="18"/>
              </w:rPr>
              <w:t>6</w:t>
            </w:r>
          </w:p>
        </w:tc>
        <w:tc>
          <w:tcPr>
            <w:tcW w:w="3180" w:type="dxa"/>
            <w:tcMar>
              <w:top w:w="0" w:type="dxa"/>
              <w:bottom w:w="0" w:type="dxa"/>
            </w:tcMar>
            <w:vAlign w:val="center"/>
          </w:tcPr>
          <w:p w14:paraId="48DD9212" w14:textId="77777777" w:rsidR="008A3967"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7739A6A2" w14:textId="77777777" w:rsidR="008A3967" w:rsidRDefault="00000000">
            <w:pPr>
              <w:keepNext/>
              <w:keepLines/>
              <w:spacing w:after="0" w:line="240" w:lineRule="auto"/>
            </w:pPr>
            <w:r>
              <w:rPr>
                <w:sz w:val="18"/>
              </w:rPr>
              <w:t>6</w:t>
            </w:r>
          </w:p>
        </w:tc>
        <w:tc>
          <w:tcPr>
            <w:tcW w:w="1860" w:type="dxa"/>
            <w:tcMar>
              <w:top w:w="0" w:type="dxa"/>
              <w:bottom w:w="0" w:type="dxa"/>
            </w:tcMar>
            <w:vAlign w:val="center"/>
          </w:tcPr>
          <w:p w14:paraId="79BA9CD8" w14:textId="77777777" w:rsidR="008A3967" w:rsidRDefault="00000000">
            <w:pPr>
              <w:keepNext/>
              <w:keepLines/>
              <w:spacing w:after="0" w:line="240" w:lineRule="auto"/>
              <w:jc w:val="right"/>
            </w:pPr>
            <w:r>
              <w:rPr>
                <w:sz w:val="18"/>
              </w:rPr>
              <w:t>3.602.907,38</w:t>
            </w:r>
          </w:p>
        </w:tc>
        <w:tc>
          <w:tcPr>
            <w:tcW w:w="1860" w:type="dxa"/>
            <w:tcMar>
              <w:top w:w="0" w:type="dxa"/>
              <w:bottom w:w="0" w:type="dxa"/>
            </w:tcMar>
            <w:vAlign w:val="center"/>
          </w:tcPr>
          <w:p w14:paraId="071FFE63" w14:textId="77777777" w:rsidR="008A3967" w:rsidRDefault="00000000">
            <w:pPr>
              <w:keepNext/>
              <w:keepLines/>
              <w:spacing w:after="0" w:line="240" w:lineRule="auto"/>
              <w:jc w:val="right"/>
            </w:pPr>
            <w:r>
              <w:rPr>
                <w:sz w:val="18"/>
              </w:rPr>
              <w:t>3.664.885,06</w:t>
            </w:r>
          </w:p>
        </w:tc>
        <w:tc>
          <w:tcPr>
            <w:tcW w:w="700" w:type="dxa"/>
            <w:tcMar>
              <w:top w:w="0" w:type="dxa"/>
              <w:bottom w:w="0" w:type="dxa"/>
            </w:tcMar>
            <w:vAlign w:val="center"/>
          </w:tcPr>
          <w:p w14:paraId="716ECF70" w14:textId="77777777" w:rsidR="008A3967" w:rsidRDefault="00000000">
            <w:pPr>
              <w:keepNext/>
              <w:keepLines/>
              <w:spacing w:after="0" w:line="240" w:lineRule="auto"/>
              <w:jc w:val="right"/>
            </w:pPr>
            <w:r>
              <w:rPr>
                <w:sz w:val="18"/>
              </w:rPr>
              <w:t>101,7</w:t>
            </w:r>
          </w:p>
        </w:tc>
      </w:tr>
      <w:tr w:rsidR="008A3967" w14:paraId="0737F2AD" w14:textId="77777777">
        <w:tblPrEx>
          <w:tblCellMar>
            <w:top w:w="0" w:type="dxa"/>
            <w:bottom w:w="0" w:type="dxa"/>
          </w:tblCellMar>
        </w:tblPrEx>
        <w:trPr>
          <w:cantSplit/>
          <w:trHeight w:val="560"/>
        </w:trPr>
        <w:tc>
          <w:tcPr>
            <w:tcW w:w="700" w:type="dxa"/>
            <w:tcMar>
              <w:top w:w="0" w:type="dxa"/>
              <w:bottom w:w="0" w:type="dxa"/>
            </w:tcMar>
            <w:vAlign w:val="center"/>
          </w:tcPr>
          <w:p w14:paraId="2F4AD9BF" w14:textId="77777777" w:rsidR="008A3967" w:rsidRDefault="00000000">
            <w:pPr>
              <w:keepNext/>
              <w:keepLines/>
              <w:spacing w:after="0" w:line="240" w:lineRule="auto"/>
            </w:pPr>
            <w:r>
              <w:rPr>
                <w:sz w:val="18"/>
              </w:rPr>
              <w:t>3</w:t>
            </w:r>
          </w:p>
        </w:tc>
        <w:tc>
          <w:tcPr>
            <w:tcW w:w="3180" w:type="dxa"/>
            <w:tcMar>
              <w:top w:w="0" w:type="dxa"/>
              <w:bottom w:w="0" w:type="dxa"/>
            </w:tcMar>
            <w:vAlign w:val="center"/>
          </w:tcPr>
          <w:p w14:paraId="6590508C" w14:textId="77777777" w:rsidR="008A3967"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6C6EF4BB" w14:textId="77777777" w:rsidR="008A3967" w:rsidRDefault="00000000">
            <w:pPr>
              <w:keepNext/>
              <w:keepLines/>
              <w:spacing w:after="0" w:line="240" w:lineRule="auto"/>
            </w:pPr>
            <w:r>
              <w:rPr>
                <w:sz w:val="18"/>
              </w:rPr>
              <w:t>3</w:t>
            </w:r>
          </w:p>
        </w:tc>
        <w:tc>
          <w:tcPr>
            <w:tcW w:w="1860" w:type="dxa"/>
            <w:tcMar>
              <w:top w:w="0" w:type="dxa"/>
              <w:bottom w:w="0" w:type="dxa"/>
            </w:tcMar>
            <w:vAlign w:val="center"/>
          </w:tcPr>
          <w:p w14:paraId="77AF9D05" w14:textId="77777777" w:rsidR="008A3967" w:rsidRDefault="00000000">
            <w:pPr>
              <w:keepNext/>
              <w:keepLines/>
              <w:spacing w:after="0" w:line="240" w:lineRule="auto"/>
              <w:jc w:val="right"/>
            </w:pPr>
            <w:r>
              <w:rPr>
                <w:sz w:val="18"/>
              </w:rPr>
              <w:t>2.478.846,27</w:t>
            </w:r>
          </w:p>
        </w:tc>
        <w:tc>
          <w:tcPr>
            <w:tcW w:w="1860" w:type="dxa"/>
            <w:tcMar>
              <w:top w:w="0" w:type="dxa"/>
              <w:bottom w:w="0" w:type="dxa"/>
            </w:tcMar>
            <w:vAlign w:val="center"/>
          </w:tcPr>
          <w:p w14:paraId="2727C905" w14:textId="77777777" w:rsidR="008A3967" w:rsidRDefault="00000000">
            <w:pPr>
              <w:keepNext/>
              <w:keepLines/>
              <w:spacing w:after="0" w:line="240" w:lineRule="auto"/>
              <w:jc w:val="right"/>
            </w:pPr>
            <w:r>
              <w:rPr>
                <w:sz w:val="18"/>
              </w:rPr>
              <w:t>3.589.809,14</w:t>
            </w:r>
          </w:p>
        </w:tc>
        <w:tc>
          <w:tcPr>
            <w:tcW w:w="700" w:type="dxa"/>
            <w:tcMar>
              <w:top w:w="0" w:type="dxa"/>
              <w:bottom w:w="0" w:type="dxa"/>
            </w:tcMar>
            <w:vAlign w:val="center"/>
          </w:tcPr>
          <w:p w14:paraId="3C579690" w14:textId="77777777" w:rsidR="008A3967" w:rsidRDefault="00000000">
            <w:pPr>
              <w:keepNext/>
              <w:keepLines/>
              <w:spacing w:after="0" w:line="240" w:lineRule="auto"/>
              <w:jc w:val="right"/>
            </w:pPr>
            <w:r>
              <w:rPr>
                <w:sz w:val="18"/>
              </w:rPr>
              <w:t>144,8</w:t>
            </w:r>
          </w:p>
        </w:tc>
      </w:tr>
      <w:tr w:rsidR="008A3967" w14:paraId="083A59EB" w14:textId="77777777">
        <w:tblPrEx>
          <w:tblCellMar>
            <w:top w:w="0" w:type="dxa"/>
            <w:bottom w:w="0" w:type="dxa"/>
          </w:tblCellMar>
        </w:tblPrEx>
        <w:trPr>
          <w:cantSplit/>
          <w:trHeight w:val="560"/>
        </w:trPr>
        <w:tc>
          <w:tcPr>
            <w:tcW w:w="700" w:type="dxa"/>
            <w:tcMar>
              <w:top w:w="0" w:type="dxa"/>
              <w:bottom w:w="0" w:type="dxa"/>
            </w:tcMar>
            <w:vAlign w:val="center"/>
          </w:tcPr>
          <w:p w14:paraId="08657A98" w14:textId="77777777" w:rsidR="008A3967" w:rsidRDefault="008A3967">
            <w:pPr>
              <w:keepNext/>
              <w:keepLines/>
              <w:spacing w:after="0" w:line="240" w:lineRule="auto"/>
            </w:pPr>
          </w:p>
        </w:tc>
        <w:tc>
          <w:tcPr>
            <w:tcW w:w="3180" w:type="dxa"/>
            <w:tcMar>
              <w:top w:w="0" w:type="dxa"/>
              <w:bottom w:w="0" w:type="dxa"/>
            </w:tcMar>
            <w:vAlign w:val="center"/>
          </w:tcPr>
          <w:p w14:paraId="381CBEFC" w14:textId="77777777" w:rsidR="008A3967"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41D79201" w14:textId="77777777" w:rsidR="008A3967" w:rsidRDefault="00000000">
            <w:pPr>
              <w:keepNext/>
              <w:keepLines/>
              <w:spacing w:after="0" w:line="240" w:lineRule="auto"/>
            </w:pPr>
            <w:r>
              <w:rPr>
                <w:b/>
                <w:sz w:val="18"/>
              </w:rPr>
              <w:t>X001</w:t>
            </w:r>
          </w:p>
        </w:tc>
        <w:tc>
          <w:tcPr>
            <w:tcW w:w="1860" w:type="dxa"/>
            <w:tcMar>
              <w:top w:w="0" w:type="dxa"/>
              <w:bottom w:w="0" w:type="dxa"/>
            </w:tcMar>
            <w:vAlign w:val="center"/>
          </w:tcPr>
          <w:p w14:paraId="0608FCA5" w14:textId="77777777" w:rsidR="008A3967" w:rsidRDefault="00000000">
            <w:pPr>
              <w:keepNext/>
              <w:keepLines/>
              <w:spacing w:after="0" w:line="240" w:lineRule="auto"/>
              <w:jc w:val="right"/>
            </w:pPr>
            <w:r>
              <w:rPr>
                <w:b/>
                <w:sz w:val="18"/>
              </w:rPr>
              <w:t>1.124.061,11</w:t>
            </w:r>
          </w:p>
        </w:tc>
        <w:tc>
          <w:tcPr>
            <w:tcW w:w="1860" w:type="dxa"/>
            <w:tcMar>
              <w:top w:w="0" w:type="dxa"/>
              <w:bottom w:w="0" w:type="dxa"/>
            </w:tcMar>
            <w:vAlign w:val="center"/>
          </w:tcPr>
          <w:p w14:paraId="21D0F5F9" w14:textId="77777777" w:rsidR="008A3967" w:rsidRDefault="00000000">
            <w:pPr>
              <w:keepNext/>
              <w:keepLines/>
              <w:spacing w:after="0" w:line="240" w:lineRule="auto"/>
              <w:jc w:val="right"/>
            </w:pPr>
            <w:r>
              <w:rPr>
                <w:b/>
                <w:sz w:val="18"/>
              </w:rPr>
              <w:t>75.075,92</w:t>
            </w:r>
          </w:p>
        </w:tc>
        <w:tc>
          <w:tcPr>
            <w:tcW w:w="700" w:type="dxa"/>
            <w:tcMar>
              <w:top w:w="0" w:type="dxa"/>
              <w:bottom w:w="0" w:type="dxa"/>
            </w:tcMar>
            <w:vAlign w:val="center"/>
          </w:tcPr>
          <w:p w14:paraId="6879157D" w14:textId="77777777" w:rsidR="008A3967" w:rsidRDefault="00000000">
            <w:pPr>
              <w:keepNext/>
              <w:keepLines/>
              <w:spacing w:after="0" w:line="240" w:lineRule="auto"/>
              <w:jc w:val="right"/>
            </w:pPr>
            <w:r>
              <w:rPr>
                <w:b/>
                <w:sz w:val="18"/>
              </w:rPr>
              <w:t>6,7</w:t>
            </w:r>
          </w:p>
        </w:tc>
      </w:tr>
      <w:tr w:rsidR="008A3967" w14:paraId="6E9FA7DE" w14:textId="77777777">
        <w:tblPrEx>
          <w:tblCellMar>
            <w:top w:w="0" w:type="dxa"/>
            <w:bottom w:w="0" w:type="dxa"/>
          </w:tblCellMar>
        </w:tblPrEx>
        <w:trPr>
          <w:cantSplit/>
          <w:trHeight w:val="560"/>
        </w:trPr>
        <w:tc>
          <w:tcPr>
            <w:tcW w:w="700" w:type="dxa"/>
            <w:tcMar>
              <w:top w:w="0" w:type="dxa"/>
              <w:bottom w:w="0" w:type="dxa"/>
            </w:tcMar>
            <w:vAlign w:val="center"/>
          </w:tcPr>
          <w:p w14:paraId="4198495D" w14:textId="77777777" w:rsidR="008A3967" w:rsidRDefault="00000000">
            <w:pPr>
              <w:keepNext/>
              <w:keepLines/>
              <w:spacing w:after="0" w:line="240" w:lineRule="auto"/>
            </w:pPr>
            <w:r>
              <w:rPr>
                <w:sz w:val="18"/>
              </w:rPr>
              <w:t>7</w:t>
            </w:r>
          </w:p>
        </w:tc>
        <w:tc>
          <w:tcPr>
            <w:tcW w:w="3180" w:type="dxa"/>
            <w:tcMar>
              <w:top w:w="0" w:type="dxa"/>
              <w:bottom w:w="0" w:type="dxa"/>
            </w:tcMar>
            <w:vAlign w:val="center"/>
          </w:tcPr>
          <w:p w14:paraId="0A434915" w14:textId="77777777" w:rsidR="008A3967"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52576B5E" w14:textId="77777777" w:rsidR="008A3967" w:rsidRDefault="00000000">
            <w:pPr>
              <w:keepNext/>
              <w:keepLines/>
              <w:spacing w:after="0" w:line="240" w:lineRule="auto"/>
            </w:pPr>
            <w:r>
              <w:rPr>
                <w:sz w:val="18"/>
              </w:rPr>
              <w:t>7</w:t>
            </w:r>
          </w:p>
        </w:tc>
        <w:tc>
          <w:tcPr>
            <w:tcW w:w="1860" w:type="dxa"/>
            <w:tcMar>
              <w:top w:w="0" w:type="dxa"/>
              <w:bottom w:w="0" w:type="dxa"/>
            </w:tcMar>
            <w:vAlign w:val="center"/>
          </w:tcPr>
          <w:p w14:paraId="7EBECC96" w14:textId="77777777" w:rsidR="008A3967" w:rsidRDefault="00000000">
            <w:pPr>
              <w:keepNext/>
              <w:keepLines/>
              <w:spacing w:after="0" w:line="240" w:lineRule="auto"/>
              <w:jc w:val="right"/>
            </w:pPr>
            <w:r>
              <w:rPr>
                <w:sz w:val="18"/>
              </w:rPr>
              <w:t>322.000,00</w:t>
            </w:r>
          </w:p>
        </w:tc>
        <w:tc>
          <w:tcPr>
            <w:tcW w:w="1860" w:type="dxa"/>
            <w:tcMar>
              <w:top w:w="0" w:type="dxa"/>
              <w:bottom w:w="0" w:type="dxa"/>
            </w:tcMar>
            <w:vAlign w:val="center"/>
          </w:tcPr>
          <w:p w14:paraId="78BB95B8" w14:textId="77777777" w:rsidR="008A3967" w:rsidRDefault="00000000">
            <w:pPr>
              <w:keepNext/>
              <w:keepLines/>
              <w:spacing w:after="0" w:line="240" w:lineRule="auto"/>
              <w:jc w:val="right"/>
            </w:pPr>
            <w:r>
              <w:rPr>
                <w:sz w:val="18"/>
              </w:rPr>
              <w:t>520.800,00</w:t>
            </w:r>
          </w:p>
        </w:tc>
        <w:tc>
          <w:tcPr>
            <w:tcW w:w="700" w:type="dxa"/>
            <w:tcMar>
              <w:top w:w="0" w:type="dxa"/>
              <w:bottom w:w="0" w:type="dxa"/>
            </w:tcMar>
            <w:vAlign w:val="center"/>
          </w:tcPr>
          <w:p w14:paraId="4F6B9E2B" w14:textId="77777777" w:rsidR="008A3967" w:rsidRDefault="00000000">
            <w:pPr>
              <w:keepNext/>
              <w:keepLines/>
              <w:spacing w:after="0" w:line="240" w:lineRule="auto"/>
              <w:jc w:val="right"/>
            </w:pPr>
            <w:r>
              <w:rPr>
                <w:sz w:val="18"/>
              </w:rPr>
              <w:t>161,7</w:t>
            </w:r>
          </w:p>
        </w:tc>
      </w:tr>
      <w:tr w:rsidR="008A3967" w14:paraId="65640D1C" w14:textId="77777777">
        <w:tblPrEx>
          <w:tblCellMar>
            <w:top w:w="0" w:type="dxa"/>
            <w:bottom w:w="0" w:type="dxa"/>
          </w:tblCellMar>
        </w:tblPrEx>
        <w:trPr>
          <w:cantSplit/>
          <w:trHeight w:val="560"/>
        </w:trPr>
        <w:tc>
          <w:tcPr>
            <w:tcW w:w="700" w:type="dxa"/>
            <w:tcMar>
              <w:top w:w="0" w:type="dxa"/>
              <w:bottom w:w="0" w:type="dxa"/>
            </w:tcMar>
            <w:vAlign w:val="center"/>
          </w:tcPr>
          <w:p w14:paraId="7DF7DE17" w14:textId="77777777" w:rsidR="008A3967" w:rsidRDefault="00000000">
            <w:pPr>
              <w:keepNext/>
              <w:keepLines/>
              <w:spacing w:after="0" w:line="240" w:lineRule="auto"/>
            </w:pPr>
            <w:r>
              <w:rPr>
                <w:sz w:val="18"/>
              </w:rPr>
              <w:t>4</w:t>
            </w:r>
          </w:p>
        </w:tc>
        <w:tc>
          <w:tcPr>
            <w:tcW w:w="3180" w:type="dxa"/>
            <w:tcMar>
              <w:top w:w="0" w:type="dxa"/>
              <w:bottom w:w="0" w:type="dxa"/>
            </w:tcMar>
            <w:vAlign w:val="center"/>
          </w:tcPr>
          <w:p w14:paraId="29100EAB" w14:textId="77777777" w:rsidR="008A3967"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80F88C4" w14:textId="77777777" w:rsidR="008A3967" w:rsidRDefault="00000000">
            <w:pPr>
              <w:keepNext/>
              <w:keepLines/>
              <w:spacing w:after="0" w:line="240" w:lineRule="auto"/>
            </w:pPr>
            <w:r>
              <w:rPr>
                <w:sz w:val="18"/>
              </w:rPr>
              <w:t>4</w:t>
            </w:r>
          </w:p>
        </w:tc>
        <w:tc>
          <w:tcPr>
            <w:tcW w:w="1860" w:type="dxa"/>
            <w:tcMar>
              <w:top w:w="0" w:type="dxa"/>
              <w:bottom w:w="0" w:type="dxa"/>
            </w:tcMar>
            <w:vAlign w:val="center"/>
          </w:tcPr>
          <w:p w14:paraId="36FEAE75" w14:textId="77777777" w:rsidR="008A3967" w:rsidRDefault="00000000">
            <w:pPr>
              <w:keepNext/>
              <w:keepLines/>
              <w:spacing w:after="0" w:line="240" w:lineRule="auto"/>
              <w:jc w:val="right"/>
            </w:pPr>
            <w:r>
              <w:rPr>
                <w:sz w:val="18"/>
              </w:rPr>
              <w:t>1.000.989,00</w:t>
            </w:r>
          </w:p>
        </w:tc>
        <w:tc>
          <w:tcPr>
            <w:tcW w:w="1860" w:type="dxa"/>
            <w:tcMar>
              <w:top w:w="0" w:type="dxa"/>
              <w:bottom w:w="0" w:type="dxa"/>
            </w:tcMar>
            <w:vAlign w:val="center"/>
          </w:tcPr>
          <w:p w14:paraId="63777D84" w14:textId="77777777" w:rsidR="008A3967" w:rsidRDefault="00000000">
            <w:pPr>
              <w:keepNext/>
              <w:keepLines/>
              <w:spacing w:after="0" w:line="240" w:lineRule="auto"/>
              <w:jc w:val="right"/>
            </w:pPr>
            <w:r>
              <w:rPr>
                <w:sz w:val="18"/>
              </w:rPr>
              <w:t>1.944.089,59</w:t>
            </w:r>
          </w:p>
        </w:tc>
        <w:tc>
          <w:tcPr>
            <w:tcW w:w="700" w:type="dxa"/>
            <w:tcMar>
              <w:top w:w="0" w:type="dxa"/>
              <w:bottom w:w="0" w:type="dxa"/>
            </w:tcMar>
            <w:vAlign w:val="center"/>
          </w:tcPr>
          <w:p w14:paraId="7A1727F0" w14:textId="77777777" w:rsidR="008A3967" w:rsidRDefault="00000000">
            <w:pPr>
              <w:keepNext/>
              <w:keepLines/>
              <w:spacing w:after="0" w:line="240" w:lineRule="auto"/>
              <w:jc w:val="right"/>
            </w:pPr>
            <w:r>
              <w:rPr>
                <w:sz w:val="18"/>
              </w:rPr>
              <w:t>194,2</w:t>
            </w:r>
          </w:p>
        </w:tc>
      </w:tr>
      <w:tr w:rsidR="008A3967" w14:paraId="7D74C599" w14:textId="77777777">
        <w:tblPrEx>
          <w:tblCellMar>
            <w:top w:w="0" w:type="dxa"/>
            <w:bottom w:w="0" w:type="dxa"/>
          </w:tblCellMar>
        </w:tblPrEx>
        <w:trPr>
          <w:cantSplit/>
          <w:trHeight w:val="560"/>
        </w:trPr>
        <w:tc>
          <w:tcPr>
            <w:tcW w:w="700" w:type="dxa"/>
            <w:tcMar>
              <w:top w:w="0" w:type="dxa"/>
              <w:bottom w:w="0" w:type="dxa"/>
            </w:tcMar>
            <w:vAlign w:val="center"/>
          </w:tcPr>
          <w:p w14:paraId="4A57CCCE" w14:textId="77777777" w:rsidR="008A3967" w:rsidRDefault="008A3967">
            <w:pPr>
              <w:keepNext/>
              <w:keepLines/>
              <w:spacing w:after="0" w:line="240" w:lineRule="auto"/>
            </w:pPr>
          </w:p>
        </w:tc>
        <w:tc>
          <w:tcPr>
            <w:tcW w:w="3180" w:type="dxa"/>
            <w:tcMar>
              <w:top w:w="0" w:type="dxa"/>
              <w:bottom w:w="0" w:type="dxa"/>
            </w:tcMar>
            <w:vAlign w:val="center"/>
          </w:tcPr>
          <w:p w14:paraId="2558C850" w14:textId="77777777" w:rsidR="008A3967"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5A0977DB" w14:textId="77777777" w:rsidR="008A3967" w:rsidRDefault="00000000">
            <w:pPr>
              <w:keepNext/>
              <w:keepLines/>
              <w:spacing w:after="0" w:line="240" w:lineRule="auto"/>
            </w:pPr>
            <w:r>
              <w:rPr>
                <w:b/>
                <w:sz w:val="18"/>
              </w:rPr>
              <w:t>Y002</w:t>
            </w:r>
          </w:p>
        </w:tc>
        <w:tc>
          <w:tcPr>
            <w:tcW w:w="1860" w:type="dxa"/>
            <w:tcMar>
              <w:top w:w="0" w:type="dxa"/>
              <w:bottom w:w="0" w:type="dxa"/>
            </w:tcMar>
            <w:vAlign w:val="center"/>
          </w:tcPr>
          <w:p w14:paraId="384801BF" w14:textId="77777777" w:rsidR="008A3967" w:rsidRDefault="00000000">
            <w:pPr>
              <w:keepNext/>
              <w:keepLines/>
              <w:spacing w:after="0" w:line="240" w:lineRule="auto"/>
              <w:jc w:val="right"/>
            </w:pPr>
            <w:r>
              <w:rPr>
                <w:b/>
                <w:sz w:val="18"/>
              </w:rPr>
              <w:t>678.989,00</w:t>
            </w:r>
          </w:p>
        </w:tc>
        <w:tc>
          <w:tcPr>
            <w:tcW w:w="1860" w:type="dxa"/>
            <w:tcMar>
              <w:top w:w="0" w:type="dxa"/>
              <w:bottom w:w="0" w:type="dxa"/>
            </w:tcMar>
            <w:vAlign w:val="center"/>
          </w:tcPr>
          <w:p w14:paraId="3D77D986" w14:textId="77777777" w:rsidR="008A3967" w:rsidRDefault="00000000">
            <w:pPr>
              <w:keepNext/>
              <w:keepLines/>
              <w:spacing w:after="0" w:line="240" w:lineRule="auto"/>
              <w:jc w:val="right"/>
            </w:pPr>
            <w:r>
              <w:rPr>
                <w:b/>
                <w:sz w:val="18"/>
              </w:rPr>
              <w:t>1.423.289,59</w:t>
            </w:r>
          </w:p>
        </w:tc>
        <w:tc>
          <w:tcPr>
            <w:tcW w:w="700" w:type="dxa"/>
            <w:tcMar>
              <w:top w:w="0" w:type="dxa"/>
              <w:bottom w:w="0" w:type="dxa"/>
            </w:tcMar>
            <w:vAlign w:val="center"/>
          </w:tcPr>
          <w:p w14:paraId="39E0BB0D" w14:textId="77777777" w:rsidR="008A3967" w:rsidRDefault="00000000">
            <w:pPr>
              <w:keepNext/>
              <w:keepLines/>
              <w:spacing w:after="0" w:line="240" w:lineRule="auto"/>
              <w:jc w:val="right"/>
            </w:pPr>
            <w:r>
              <w:rPr>
                <w:b/>
                <w:sz w:val="18"/>
              </w:rPr>
              <w:t>209,6</w:t>
            </w:r>
          </w:p>
        </w:tc>
      </w:tr>
      <w:tr w:rsidR="008A3967" w14:paraId="53322452" w14:textId="77777777">
        <w:tblPrEx>
          <w:tblCellMar>
            <w:top w:w="0" w:type="dxa"/>
            <w:bottom w:w="0" w:type="dxa"/>
          </w:tblCellMar>
        </w:tblPrEx>
        <w:trPr>
          <w:cantSplit/>
          <w:trHeight w:val="560"/>
        </w:trPr>
        <w:tc>
          <w:tcPr>
            <w:tcW w:w="700" w:type="dxa"/>
            <w:tcMar>
              <w:top w:w="0" w:type="dxa"/>
              <w:bottom w:w="0" w:type="dxa"/>
            </w:tcMar>
            <w:vAlign w:val="center"/>
          </w:tcPr>
          <w:p w14:paraId="03CD83A9" w14:textId="77777777" w:rsidR="008A3967" w:rsidRDefault="00000000">
            <w:pPr>
              <w:keepNext/>
              <w:keepLines/>
              <w:spacing w:after="0" w:line="240" w:lineRule="auto"/>
            </w:pPr>
            <w:r>
              <w:rPr>
                <w:sz w:val="18"/>
              </w:rPr>
              <w:t>8</w:t>
            </w:r>
          </w:p>
        </w:tc>
        <w:tc>
          <w:tcPr>
            <w:tcW w:w="3180" w:type="dxa"/>
            <w:tcMar>
              <w:top w:w="0" w:type="dxa"/>
              <w:bottom w:w="0" w:type="dxa"/>
            </w:tcMar>
            <w:vAlign w:val="center"/>
          </w:tcPr>
          <w:p w14:paraId="7E408E48" w14:textId="77777777" w:rsidR="008A3967"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0D9F6096" w14:textId="77777777" w:rsidR="008A3967" w:rsidRDefault="00000000">
            <w:pPr>
              <w:keepNext/>
              <w:keepLines/>
              <w:spacing w:after="0" w:line="240" w:lineRule="auto"/>
            </w:pPr>
            <w:r>
              <w:rPr>
                <w:sz w:val="18"/>
              </w:rPr>
              <w:t>8</w:t>
            </w:r>
          </w:p>
        </w:tc>
        <w:tc>
          <w:tcPr>
            <w:tcW w:w="1860" w:type="dxa"/>
            <w:tcMar>
              <w:top w:w="0" w:type="dxa"/>
              <w:bottom w:w="0" w:type="dxa"/>
            </w:tcMar>
            <w:vAlign w:val="center"/>
          </w:tcPr>
          <w:p w14:paraId="36491ADB" w14:textId="77777777" w:rsidR="008A3967" w:rsidRDefault="00000000">
            <w:pPr>
              <w:keepNext/>
              <w:keepLines/>
              <w:spacing w:after="0" w:line="240" w:lineRule="auto"/>
              <w:jc w:val="right"/>
            </w:pPr>
            <w:r>
              <w:rPr>
                <w:sz w:val="18"/>
              </w:rPr>
              <w:t>687.500,00</w:t>
            </w:r>
          </w:p>
        </w:tc>
        <w:tc>
          <w:tcPr>
            <w:tcW w:w="1860" w:type="dxa"/>
            <w:tcMar>
              <w:top w:w="0" w:type="dxa"/>
              <w:bottom w:w="0" w:type="dxa"/>
            </w:tcMar>
            <w:vAlign w:val="center"/>
          </w:tcPr>
          <w:p w14:paraId="2D981E86" w14:textId="77777777" w:rsidR="008A3967" w:rsidRDefault="00000000">
            <w:pPr>
              <w:keepNext/>
              <w:keepLines/>
              <w:spacing w:after="0" w:line="240" w:lineRule="auto"/>
              <w:jc w:val="right"/>
            </w:pPr>
            <w:r>
              <w:rPr>
                <w:sz w:val="18"/>
              </w:rPr>
              <w:t>617.631,16</w:t>
            </w:r>
          </w:p>
        </w:tc>
        <w:tc>
          <w:tcPr>
            <w:tcW w:w="700" w:type="dxa"/>
            <w:tcMar>
              <w:top w:w="0" w:type="dxa"/>
              <w:bottom w:w="0" w:type="dxa"/>
            </w:tcMar>
            <w:vAlign w:val="center"/>
          </w:tcPr>
          <w:p w14:paraId="3FD7C1C9" w14:textId="77777777" w:rsidR="008A3967" w:rsidRDefault="00000000">
            <w:pPr>
              <w:keepNext/>
              <w:keepLines/>
              <w:spacing w:after="0" w:line="240" w:lineRule="auto"/>
              <w:jc w:val="right"/>
            </w:pPr>
            <w:r>
              <w:rPr>
                <w:sz w:val="18"/>
              </w:rPr>
              <w:t>89,8</w:t>
            </w:r>
          </w:p>
        </w:tc>
      </w:tr>
      <w:tr w:rsidR="008A3967" w14:paraId="629F1A8E" w14:textId="77777777">
        <w:tblPrEx>
          <w:tblCellMar>
            <w:top w:w="0" w:type="dxa"/>
            <w:bottom w:w="0" w:type="dxa"/>
          </w:tblCellMar>
        </w:tblPrEx>
        <w:trPr>
          <w:cantSplit/>
          <w:trHeight w:val="560"/>
        </w:trPr>
        <w:tc>
          <w:tcPr>
            <w:tcW w:w="700" w:type="dxa"/>
            <w:tcMar>
              <w:top w:w="0" w:type="dxa"/>
              <w:bottom w:w="0" w:type="dxa"/>
            </w:tcMar>
            <w:vAlign w:val="center"/>
          </w:tcPr>
          <w:p w14:paraId="45A831A2" w14:textId="77777777" w:rsidR="008A3967" w:rsidRDefault="00000000">
            <w:pPr>
              <w:keepNext/>
              <w:keepLines/>
              <w:spacing w:after="0" w:line="240" w:lineRule="auto"/>
            </w:pPr>
            <w:r>
              <w:rPr>
                <w:sz w:val="18"/>
              </w:rPr>
              <w:t>5</w:t>
            </w:r>
          </w:p>
        </w:tc>
        <w:tc>
          <w:tcPr>
            <w:tcW w:w="3180" w:type="dxa"/>
            <w:tcMar>
              <w:top w:w="0" w:type="dxa"/>
              <w:bottom w:w="0" w:type="dxa"/>
            </w:tcMar>
            <w:vAlign w:val="center"/>
          </w:tcPr>
          <w:p w14:paraId="6084F781" w14:textId="77777777" w:rsidR="008A3967"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68180007" w14:textId="77777777" w:rsidR="008A3967" w:rsidRDefault="00000000">
            <w:pPr>
              <w:keepNext/>
              <w:keepLines/>
              <w:spacing w:after="0" w:line="240" w:lineRule="auto"/>
            </w:pPr>
            <w:r>
              <w:rPr>
                <w:sz w:val="18"/>
              </w:rPr>
              <w:t>5</w:t>
            </w:r>
          </w:p>
        </w:tc>
        <w:tc>
          <w:tcPr>
            <w:tcW w:w="1860" w:type="dxa"/>
            <w:tcMar>
              <w:top w:w="0" w:type="dxa"/>
              <w:bottom w:w="0" w:type="dxa"/>
            </w:tcMar>
            <w:vAlign w:val="center"/>
          </w:tcPr>
          <w:p w14:paraId="7BC60985" w14:textId="77777777" w:rsidR="008A3967" w:rsidRDefault="00000000">
            <w:pPr>
              <w:keepNext/>
              <w:keepLines/>
              <w:spacing w:after="0" w:line="240" w:lineRule="auto"/>
              <w:jc w:val="right"/>
            </w:pPr>
            <w:r>
              <w:rPr>
                <w:sz w:val="18"/>
              </w:rPr>
              <w:t>1.221.498,83</w:t>
            </w:r>
          </w:p>
        </w:tc>
        <w:tc>
          <w:tcPr>
            <w:tcW w:w="1860" w:type="dxa"/>
            <w:tcMar>
              <w:top w:w="0" w:type="dxa"/>
              <w:bottom w:w="0" w:type="dxa"/>
            </w:tcMar>
            <w:vAlign w:val="center"/>
          </w:tcPr>
          <w:p w14:paraId="7768329E" w14:textId="77777777" w:rsidR="008A3967" w:rsidRDefault="00000000">
            <w:pPr>
              <w:keepNext/>
              <w:keepLines/>
              <w:spacing w:after="0" w:line="240" w:lineRule="auto"/>
              <w:jc w:val="right"/>
            </w:pPr>
            <w:r>
              <w:rPr>
                <w:sz w:val="18"/>
              </w:rPr>
              <w:t>315.679,14</w:t>
            </w:r>
          </w:p>
        </w:tc>
        <w:tc>
          <w:tcPr>
            <w:tcW w:w="700" w:type="dxa"/>
            <w:tcMar>
              <w:top w:w="0" w:type="dxa"/>
              <w:bottom w:w="0" w:type="dxa"/>
            </w:tcMar>
            <w:vAlign w:val="center"/>
          </w:tcPr>
          <w:p w14:paraId="736AC89D" w14:textId="77777777" w:rsidR="008A3967" w:rsidRDefault="00000000">
            <w:pPr>
              <w:keepNext/>
              <w:keepLines/>
              <w:spacing w:after="0" w:line="240" w:lineRule="auto"/>
              <w:jc w:val="right"/>
            </w:pPr>
            <w:r>
              <w:rPr>
                <w:sz w:val="18"/>
              </w:rPr>
              <w:t>25,8</w:t>
            </w:r>
          </w:p>
        </w:tc>
      </w:tr>
      <w:tr w:rsidR="008A3967" w14:paraId="024131CB" w14:textId="77777777">
        <w:tblPrEx>
          <w:tblCellMar>
            <w:top w:w="0" w:type="dxa"/>
            <w:bottom w:w="0" w:type="dxa"/>
          </w:tblCellMar>
        </w:tblPrEx>
        <w:trPr>
          <w:cantSplit/>
          <w:trHeight w:val="560"/>
        </w:trPr>
        <w:tc>
          <w:tcPr>
            <w:tcW w:w="700" w:type="dxa"/>
            <w:tcMar>
              <w:top w:w="0" w:type="dxa"/>
              <w:bottom w:w="0" w:type="dxa"/>
            </w:tcMar>
            <w:vAlign w:val="center"/>
          </w:tcPr>
          <w:p w14:paraId="0CCAAC9B" w14:textId="77777777" w:rsidR="008A3967" w:rsidRDefault="008A3967">
            <w:pPr>
              <w:keepNext/>
              <w:keepLines/>
              <w:spacing w:after="0" w:line="240" w:lineRule="auto"/>
            </w:pPr>
          </w:p>
        </w:tc>
        <w:tc>
          <w:tcPr>
            <w:tcW w:w="3180" w:type="dxa"/>
            <w:tcMar>
              <w:top w:w="0" w:type="dxa"/>
              <w:bottom w:w="0" w:type="dxa"/>
            </w:tcMar>
            <w:vAlign w:val="center"/>
          </w:tcPr>
          <w:p w14:paraId="564C62D1" w14:textId="77777777" w:rsidR="008A3967" w:rsidRDefault="00000000">
            <w:pPr>
              <w:keepNext/>
              <w:keepLines/>
              <w:spacing w:after="0" w:line="240" w:lineRule="auto"/>
            </w:pPr>
            <w:r>
              <w:rPr>
                <w:b/>
                <w:sz w:val="18"/>
              </w:rPr>
              <w:t>VIŠAK PRIMITAKA OD FINANCIJSKE IMOVINE I ZADUŽIVANJA (šifre 8-5)</w:t>
            </w:r>
          </w:p>
        </w:tc>
        <w:tc>
          <w:tcPr>
            <w:tcW w:w="700" w:type="dxa"/>
            <w:tcMar>
              <w:top w:w="0" w:type="dxa"/>
              <w:bottom w:w="0" w:type="dxa"/>
            </w:tcMar>
            <w:vAlign w:val="center"/>
          </w:tcPr>
          <w:p w14:paraId="4B77C1B8" w14:textId="77777777" w:rsidR="008A3967" w:rsidRDefault="00000000">
            <w:pPr>
              <w:keepNext/>
              <w:keepLines/>
              <w:spacing w:after="0" w:line="240" w:lineRule="auto"/>
            </w:pPr>
            <w:r>
              <w:rPr>
                <w:b/>
                <w:sz w:val="18"/>
              </w:rPr>
              <w:t>X003</w:t>
            </w:r>
          </w:p>
        </w:tc>
        <w:tc>
          <w:tcPr>
            <w:tcW w:w="1860" w:type="dxa"/>
            <w:tcMar>
              <w:top w:w="0" w:type="dxa"/>
              <w:bottom w:w="0" w:type="dxa"/>
            </w:tcMar>
            <w:vAlign w:val="center"/>
          </w:tcPr>
          <w:p w14:paraId="4C4F88DC" w14:textId="77777777" w:rsidR="008A3967" w:rsidRDefault="00000000">
            <w:pPr>
              <w:keepNext/>
              <w:keepLines/>
              <w:spacing w:after="0" w:line="240" w:lineRule="auto"/>
              <w:jc w:val="right"/>
            </w:pPr>
            <w:r>
              <w:rPr>
                <w:b/>
                <w:sz w:val="18"/>
              </w:rPr>
              <w:t>0,00</w:t>
            </w:r>
          </w:p>
        </w:tc>
        <w:tc>
          <w:tcPr>
            <w:tcW w:w="1860" w:type="dxa"/>
            <w:tcMar>
              <w:top w:w="0" w:type="dxa"/>
              <w:bottom w:w="0" w:type="dxa"/>
            </w:tcMar>
            <w:vAlign w:val="center"/>
          </w:tcPr>
          <w:p w14:paraId="224231AC" w14:textId="77777777" w:rsidR="008A3967" w:rsidRDefault="00000000">
            <w:pPr>
              <w:keepNext/>
              <w:keepLines/>
              <w:spacing w:after="0" w:line="240" w:lineRule="auto"/>
              <w:jc w:val="right"/>
            </w:pPr>
            <w:r>
              <w:rPr>
                <w:b/>
                <w:sz w:val="18"/>
              </w:rPr>
              <w:t>301.952,02</w:t>
            </w:r>
          </w:p>
        </w:tc>
        <w:tc>
          <w:tcPr>
            <w:tcW w:w="700" w:type="dxa"/>
            <w:tcMar>
              <w:top w:w="0" w:type="dxa"/>
              <w:bottom w:w="0" w:type="dxa"/>
            </w:tcMar>
            <w:vAlign w:val="center"/>
          </w:tcPr>
          <w:p w14:paraId="60784D7A" w14:textId="77777777" w:rsidR="008A3967" w:rsidRDefault="00000000">
            <w:pPr>
              <w:keepNext/>
              <w:keepLines/>
              <w:spacing w:after="0" w:line="240" w:lineRule="auto"/>
              <w:jc w:val="right"/>
            </w:pPr>
            <w:r>
              <w:rPr>
                <w:b/>
                <w:sz w:val="18"/>
              </w:rPr>
              <w:t>-</w:t>
            </w:r>
          </w:p>
        </w:tc>
      </w:tr>
      <w:tr w:rsidR="008A3967" w14:paraId="458953D4" w14:textId="77777777">
        <w:tblPrEx>
          <w:tblCellMar>
            <w:top w:w="0" w:type="dxa"/>
            <w:bottom w:w="0" w:type="dxa"/>
          </w:tblCellMar>
        </w:tblPrEx>
        <w:trPr>
          <w:cantSplit/>
          <w:trHeight w:val="560"/>
        </w:trPr>
        <w:tc>
          <w:tcPr>
            <w:tcW w:w="700" w:type="dxa"/>
            <w:tcMar>
              <w:top w:w="0" w:type="dxa"/>
              <w:bottom w:w="0" w:type="dxa"/>
            </w:tcMar>
            <w:vAlign w:val="center"/>
          </w:tcPr>
          <w:p w14:paraId="1A1FDE83" w14:textId="77777777" w:rsidR="008A3967" w:rsidRDefault="008A3967">
            <w:pPr>
              <w:keepNext/>
              <w:keepLines/>
              <w:spacing w:after="0" w:line="240" w:lineRule="auto"/>
            </w:pPr>
          </w:p>
        </w:tc>
        <w:tc>
          <w:tcPr>
            <w:tcW w:w="3180" w:type="dxa"/>
            <w:tcMar>
              <w:top w:w="0" w:type="dxa"/>
              <w:bottom w:w="0" w:type="dxa"/>
            </w:tcMar>
            <w:vAlign w:val="center"/>
          </w:tcPr>
          <w:p w14:paraId="53A8100C" w14:textId="77777777" w:rsidR="008A3967"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717C7FA3" w14:textId="77777777" w:rsidR="008A3967" w:rsidRDefault="00000000">
            <w:pPr>
              <w:keepNext/>
              <w:keepLines/>
              <w:spacing w:after="0" w:line="240" w:lineRule="auto"/>
            </w:pPr>
            <w:r>
              <w:rPr>
                <w:b/>
                <w:sz w:val="18"/>
              </w:rPr>
              <w:t>Y005</w:t>
            </w:r>
          </w:p>
        </w:tc>
        <w:tc>
          <w:tcPr>
            <w:tcW w:w="1860" w:type="dxa"/>
            <w:tcMar>
              <w:top w:w="0" w:type="dxa"/>
              <w:bottom w:w="0" w:type="dxa"/>
            </w:tcMar>
            <w:vAlign w:val="center"/>
          </w:tcPr>
          <w:p w14:paraId="503983E7" w14:textId="77777777" w:rsidR="008A3967" w:rsidRDefault="00000000">
            <w:pPr>
              <w:keepNext/>
              <w:keepLines/>
              <w:spacing w:after="0" w:line="240" w:lineRule="auto"/>
              <w:jc w:val="right"/>
            </w:pPr>
            <w:r>
              <w:rPr>
                <w:b/>
                <w:sz w:val="18"/>
              </w:rPr>
              <w:t>88.926,72</w:t>
            </w:r>
          </w:p>
        </w:tc>
        <w:tc>
          <w:tcPr>
            <w:tcW w:w="1860" w:type="dxa"/>
            <w:tcMar>
              <w:top w:w="0" w:type="dxa"/>
              <w:bottom w:w="0" w:type="dxa"/>
            </w:tcMar>
            <w:vAlign w:val="center"/>
          </w:tcPr>
          <w:p w14:paraId="49862024" w14:textId="77777777" w:rsidR="008A3967" w:rsidRDefault="00000000">
            <w:pPr>
              <w:keepNext/>
              <w:keepLines/>
              <w:spacing w:after="0" w:line="240" w:lineRule="auto"/>
              <w:jc w:val="right"/>
            </w:pPr>
            <w:r>
              <w:rPr>
                <w:b/>
                <w:sz w:val="18"/>
              </w:rPr>
              <w:t>1.046.261,65</w:t>
            </w:r>
          </w:p>
        </w:tc>
        <w:tc>
          <w:tcPr>
            <w:tcW w:w="700" w:type="dxa"/>
            <w:tcMar>
              <w:top w:w="0" w:type="dxa"/>
              <w:bottom w:w="0" w:type="dxa"/>
            </w:tcMar>
            <w:vAlign w:val="center"/>
          </w:tcPr>
          <w:p w14:paraId="398BDC25" w14:textId="77777777" w:rsidR="008A3967" w:rsidRDefault="00000000">
            <w:pPr>
              <w:keepNext/>
              <w:keepLines/>
              <w:spacing w:after="0" w:line="240" w:lineRule="auto"/>
              <w:jc w:val="right"/>
            </w:pPr>
            <w:r>
              <w:rPr>
                <w:b/>
                <w:sz w:val="18"/>
              </w:rPr>
              <w:t>1176,5</w:t>
            </w:r>
          </w:p>
        </w:tc>
      </w:tr>
    </w:tbl>
    <w:p w14:paraId="4061C46E" w14:textId="77777777" w:rsidR="008A3967" w:rsidRDefault="008A3967">
      <w:pPr>
        <w:spacing w:after="0"/>
      </w:pPr>
    </w:p>
    <w:p w14:paraId="01B996B1" w14:textId="77777777" w:rsidR="008A3967" w:rsidRDefault="00000000">
      <w:pPr>
        <w:spacing w:line="240" w:lineRule="auto"/>
        <w:jc w:val="both"/>
      </w:pPr>
      <w:r>
        <w:t xml:space="preserve">PRAVNI OKVIR  Temeljni zakon koji uređuje poslovanje obveznika primjene proračunskog računovodstva je Zakon o proračunu (NN  87/08, 136/12, 15/15, NN 144/21) Temeljni računovodstveni propisi proračunskog  računovodstva koji će se primjenjivati za 2025. godinu su </w:t>
      </w:r>
      <w:r>
        <w:t xml:space="preserve">    Pravilnik o proračunskom računovodstvu i računskom planu (NN  124/14, 115/15, 87/16, 3/18 i 126/19, 185/20, 158/23, 154/24) </w:t>
      </w:r>
      <w:r>
        <w:t xml:space="preserve">    Pravilnik o financijskom izvještavanju u proračunskom računovodstvu (NN  3/15, 93/15, 135/15, 2/17, 28/17, 112/18, 126/19 i 145/20 i 32/21, 37/22, 52/25) Uz temeljni  Zakon o proračunu, moraju se uvažavati i drugi zakoni </w:t>
      </w:r>
      <w:r>
        <w:lastRenderedPageBreak/>
        <w:t xml:space="preserve">koji određuju poslovanje proračuna i  proračunskih korisnika </w:t>
      </w:r>
      <w:r>
        <w:t xml:space="preserve">    Zakon o izvršavanju Državnog proračuna Republike Hrvatske za 2025. godinu (NN  117/19, 32/20, 42/20, 58/20,135/20, 140/21, 149/23, 149/24) </w:t>
      </w:r>
      <w:r>
        <w:t xml:space="preserve">    Pravilnik o proračunskim klasifikacijama (NN br. 26/10, 120/13, 1/20, 4/2024) </w:t>
      </w:r>
      <w:r>
        <w:t xml:space="preserve">    Pravilnik o utvrđivanju proračunskih i izvanproračunskih korisnika državnog proračuna i  proračunskih i izvanproračunskih korisnika proračuna jedinica lokalne i područne (regionalne) samouprave te o načinu vođenja registra proračunskih i izvanproračunskih korisnika (NN, br. 128/09, 142/14, 23/19 i 83/21) </w:t>
      </w:r>
      <w:r>
        <w:t xml:space="preserve">   Podaci iz Registra proračunskih i izvanproračunskih korisnika (NN br. 68/15, 50/16, 51/17, 51/18, 60/20) </w:t>
      </w:r>
      <w:r>
        <w:t>    Upute Ministarstva financija: Okružnica o predaji i konsolidaciji financijskih izvještaja proračuna, proračunskih i izvanproračunskih korisnika državnog proračuna te proračunskih i izvanproračunskih korisnika proračuna jedinica lokalne i područne (regionalne) samouprave za razdoblje 01. siječnja do 30. lipnja 2025. godine (KLASA: 400-02/25-01/14, URBROJ: 513-05-03-25-2 od 4. srpnja 2025.).</w:t>
      </w:r>
    </w:p>
    <w:p w14:paraId="47D6B8E6" w14:textId="77777777" w:rsidR="008A3967" w:rsidRDefault="00000000">
      <w:r>
        <w:br/>
      </w:r>
    </w:p>
    <w:p w14:paraId="13803D08" w14:textId="77777777" w:rsidR="008A3967" w:rsidRDefault="00000000">
      <w:pPr>
        <w:keepNext/>
        <w:spacing w:line="240" w:lineRule="auto"/>
        <w:jc w:val="center"/>
      </w:pPr>
      <w:r>
        <w:rPr>
          <w:b/>
          <w:sz w:val="28"/>
        </w:rPr>
        <w:t>Izvještaj o obvezama</w:t>
      </w:r>
    </w:p>
    <w:p w14:paraId="39B20E7C" w14:textId="77777777" w:rsidR="008A3967"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8A3967" w14:paraId="4EF3772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EE275D2" w14:textId="77777777" w:rsidR="008A3967"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0CF0421" w14:textId="77777777" w:rsidR="008A3967"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0DE5628" w14:textId="77777777" w:rsidR="008A3967"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C9C1326" w14:textId="77777777" w:rsidR="008A3967"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6A9771BE" w14:textId="77777777" w:rsidR="008A3967" w:rsidRDefault="00000000">
            <w:pPr>
              <w:keepNext/>
              <w:keepLines/>
              <w:spacing w:after="0" w:line="240" w:lineRule="auto"/>
              <w:jc w:val="center"/>
            </w:pPr>
            <w:r>
              <w:rPr>
                <w:b/>
                <w:sz w:val="18"/>
              </w:rPr>
              <w:t>Indeks (%)</w:t>
            </w:r>
          </w:p>
        </w:tc>
      </w:tr>
      <w:tr w:rsidR="008A3967" w14:paraId="0F8164DE" w14:textId="77777777">
        <w:tblPrEx>
          <w:tblCellMar>
            <w:top w:w="0" w:type="dxa"/>
            <w:bottom w:w="0" w:type="dxa"/>
          </w:tblCellMar>
        </w:tblPrEx>
        <w:trPr>
          <w:cantSplit/>
          <w:trHeight w:val="560"/>
        </w:trPr>
        <w:tc>
          <w:tcPr>
            <w:tcW w:w="700" w:type="dxa"/>
            <w:tcMar>
              <w:top w:w="0" w:type="dxa"/>
              <w:bottom w:w="0" w:type="dxa"/>
            </w:tcMar>
            <w:vAlign w:val="center"/>
          </w:tcPr>
          <w:p w14:paraId="6D2F6ABC" w14:textId="77777777" w:rsidR="008A3967" w:rsidRDefault="008A3967">
            <w:pPr>
              <w:keepNext/>
              <w:keepLines/>
              <w:spacing w:after="0" w:line="240" w:lineRule="auto"/>
            </w:pPr>
          </w:p>
        </w:tc>
        <w:tc>
          <w:tcPr>
            <w:tcW w:w="3180" w:type="dxa"/>
            <w:tcMar>
              <w:top w:w="0" w:type="dxa"/>
              <w:bottom w:w="0" w:type="dxa"/>
            </w:tcMar>
            <w:vAlign w:val="center"/>
          </w:tcPr>
          <w:p w14:paraId="4F1E9E64" w14:textId="77777777" w:rsidR="008A3967"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64AF31FA" w14:textId="77777777" w:rsidR="008A3967" w:rsidRDefault="00000000">
            <w:pPr>
              <w:keepNext/>
              <w:keepLines/>
              <w:spacing w:after="0" w:line="240" w:lineRule="auto"/>
            </w:pPr>
            <w:r>
              <w:rPr>
                <w:sz w:val="18"/>
              </w:rPr>
              <w:t>V007</w:t>
            </w:r>
          </w:p>
        </w:tc>
        <w:tc>
          <w:tcPr>
            <w:tcW w:w="1860" w:type="dxa"/>
            <w:tcMar>
              <w:top w:w="0" w:type="dxa"/>
              <w:bottom w:w="0" w:type="dxa"/>
            </w:tcMar>
            <w:vAlign w:val="center"/>
          </w:tcPr>
          <w:p w14:paraId="301D20E2" w14:textId="77777777" w:rsidR="008A3967" w:rsidRDefault="00000000">
            <w:pPr>
              <w:keepNext/>
              <w:keepLines/>
              <w:spacing w:after="0" w:line="240" w:lineRule="auto"/>
              <w:jc w:val="right"/>
            </w:pPr>
            <w:r>
              <w:rPr>
                <w:sz w:val="18"/>
              </w:rPr>
              <w:t>916.400,57</w:t>
            </w:r>
          </w:p>
        </w:tc>
        <w:tc>
          <w:tcPr>
            <w:tcW w:w="700" w:type="dxa"/>
            <w:tcMar>
              <w:top w:w="0" w:type="dxa"/>
              <w:bottom w:w="0" w:type="dxa"/>
            </w:tcMar>
            <w:vAlign w:val="center"/>
          </w:tcPr>
          <w:p w14:paraId="68834881" w14:textId="77777777" w:rsidR="008A3967" w:rsidRDefault="00000000">
            <w:pPr>
              <w:keepNext/>
              <w:keepLines/>
              <w:spacing w:after="0" w:line="240" w:lineRule="auto"/>
              <w:jc w:val="right"/>
            </w:pPr>
            <w:r>
              <w:rPr>
                <w:sz w:val="18"/>
              </w:rPr>
              <w:t>-</w:t>
            </w:r>
          </w:p>
        </w:tc>
      </w:tr>
    </w:tbl>
    <w:p w14:paraId="7207509E" w14:textId="77777777" w:rsidR="008A3967" w:rsidRDefault="008A3967">
      <w:pPr>
        <w:spacing w:after="0"/>
      </w:pPr>
    </w:p>
    <w:p w14:paraId="1DACB18A" w14:textId="77777777" w:rsidR="008A3967" w:rsidRDefault="00000000">
      <w:pPr>
        <w:spacing w:line="240" w:lineRule="auto"/>
        <w:jc w:val="both"/>
      </w:pPr>
      <w:r>
        <w:t xml:space="preserve">OPĆINA ČEPIN: Stanje dospjelih obveza odnosi se na ratu dugoročnog zaduženja kod Zagrebačke banke za sportsku dvoranu u iznosu 91.885,03 eura, na obveze za nefinancijsku imovinu 164.222,45 eura i obveze za materijalne rashode u iznosu 659.827,53 eura. Razlog tome je što u ovom izvještajnom razdoblju nije bilo prihoda od poreza kroz puna dva mjeseca zbog povrata poreza za 2025. koje je provodila Porezna uprava. Također, započeti su kapitalni projekti na području općine te se za njihovu provedbu tek očekuje priljev sredstava. Isto tako, zbog provedbe lokalnih izbora i nekonstituiranog vijeća nisu se mogle donijeti bitne odluke koje se odnose na prodaju imovine za koju se također očekuje priljev novčanih sredstava. Sve dospjele obveze biti će podmirene u narednom izvještajnom razdoblju. ( u iznosu 915.935,01 </w:t>
      </w:r>
      <w:proofErr w:type="spellStart"/>
      <w:r>
        <w:t>eur</w:t>
      </w:r>
      <w:proofErr w:type="spellEnd"/>
      <w:r>
        <w:t>) JAVNA VATROGASNA POSTROJBA: Račun  dobavljača Telemach Hrvatska d.o.o. broj 1002942920/R900/900 od 31.05. na ukupan iznos od 47,60€  umanjen je od strane dobavljača  za plaćeni  iznos od 33,18€ te je kao  iznos koji dospijeva  na plaćanje naveden  iznos od 14,42€  koji iznos je i podmiren.  S obzirom da JVP Čepin nije doznačio sredstva u iznosu od 33,18€ koji je dobavljač naveo, provedeno je usklađenje s dobavljačem te je obveza podmirena u srpnju 2025. g. (u iznosu 33,18 eura) CENTAR ZA KULTURU: Dospjele obveze su iz razloga što je na dva računa valuta plaćanja ista kao i datum računa, te se u tom roku nisu podmirile obveze prema dobavljačima. (u iznosu 432,38 eura) DJEČJI VRTIĆ ZVONČIĆ: u ovom izvještajnom razdoblju nema dospjelih obveza</w:t>
      </w:r>
    </w:p>
    <w:p w14:paraId="0523C398" w14:textId="77777777" w:rsidR="008A3967" w:rsidRDefault="008A3967"/>
    <w:p w14:paraId="48134422" w14:textId="77777777" w:rsidR="008A3967" w:rsidRDefault="00000000">
      <w:pPr>
        <w:keepNext/>
        <w:spacing w:line="240" w:lineRule="auto"/>
        <w:jc w:val="center"/>
      </w:pPr>
      <w:r>
        <w:rPr>
          <w:sz w:val="28"/>
        </w:rPr>
        <w:t>Bilješka 3.</w:t>
      </w:r>
    </w:p>
    <w:p w14:paraId="2629A2BF" w14:textId="77777777" w:rsidR="008A3967" w:rsidRDefault="00000000">
      <w:pPr>
        <w:spacing w:line="240" w:lineRule="auto"/>
        <w:jc w:val="both"/>
      </w:pPr>
      <w:r>
        <w:rPr>
          <w:b/>
        </w:rPr>
        <w:t>Manjak ili višak u poslovanju grupe i pregled strukture manjka/viška po proračunskim korisnicima</w:t>
      </w:r>
    </w:p>
    <w:p w14:paraId="26553D6C" w14:textId="77777777" w:rsidR="008A3967" w:rsidRDefault="00000000">
      <w:pPr>
        <w:spacing w:line="240" w:lineRule="auto"/>
        <w:jc w:val="both"/>
      </w:pPr>
      <w:r>
        <w:lastRenderedPageBreak/>
        <w:t xml:space="preserve">OPĆINA ČEPIN: manjak prihoda i primitaka 1.374.662,27 eura CENTAR ZA KULTURU: višak prihoda i primitaka 27.078,35 eura DJEČJI VRTIĆ ZVONČIĆ: manjak prihoda i primitaka 8.445,53 JAVNA VATROGASNA POSTROJBA: manjak prihoda i primitaka 32.470,97 eura Razina 23 - ukupni manjak prihoda i primitaka 1.388.500,42 eura Iskazani manjak je nastao zbog rashoda koji su nastali u razdoblju 1-6, a dio tih rashoda će se pokriti ostvarenim prihodima u sljedećem obračunskom razdoblju (očekuju se prihodi od podnesenih ZNS-ova za investicije koje su tijeku). Također, na manjak je utjecao i povrat poreza koji je provodila Porezna uprava te dva mjeseca nije bilo prihoda od poreza. u ovom obračunskom razdoblju nastali su i troškovi za EO Dječjeg vrtića Zvončić, a koji se podmiruju iz dugoročnog zaduženja kod HBOR-a (podmireni su početkom 7.mjeseca u iznosu 143.986,39 </w:t>
      </w:r>
      <w:proofErr w:type="spellStart"/>
      <w:r>
        <w:t>eur</w:t>
      </w:r>
      <w:proofErr w:type="spellEnd"/>
      <w:r>
        <w:t>)</w:t>
      </w:r>
    </w:p>
    <w:p w14:paraId="2F222F61" w14:textId="77777777" w:rsidR="008A3967" w:rsidRDefault="008A3967"/>
    <w:p w14:paraId="4D80593B" w14:textId="77777777" w:rsidR="008A3967" w:rsidRDefault="00000000">
      <w:pPr>
        <w:keepNext/>
        <w:spacing w:line="240" w:lineRule="auto"/>
        <w:jc w:val="center"/>
      </w:pPr>
      <w:r>
        <w:rPr>
          <w:sz w:val="28"/>
        </w:rPr>
        <w:t>Bilješka 4.</w:t>
      </w:r>
    </w:p>
    <w:p w14:paraId="4FEC00BA" w14:textId="77777777" w:rsidR="008A3967" w:rsidRDefault="00000000">
      <w:pPr>
        <w:spacing w:line="240" w:lineRule="auto"/>
        <w:jc w:val="both"/>
      </w:pPr>
      <w:proofErr w:type="spellStart"/>
      <w:r>
        <w:rPr>
          <w:b/>
        </w:rPr>
        <w:t>Unutargrupne</w:t>
      </w:r>
      <w:proofErr w:type="spellEnd"/>
      <w:r>
        <w:rPr>
          <w:b/>
        </w:rPr>
        <w:t xml:space="preserve"> transakcije koje su u izvještajima eliminirane</w:t>
      </w:r>
    </w:p>
    <w:p w14:paraId="2BE4C6AC" w14:textId="77777777" w:rsidR="008A3967" w:rsidRDefault="00000000">
      <w:pPr>
        <w:spacing w:line="240" w:lineRule="auto"/>
        <w:jc w:val="both"/>
      </w:pPr>
      <w:r>
        <w:t xml:space="preserve">a) Šifra 671 – Prihodi iz nadležnog proračuna za financiranje redovne djelatnosti proračunskih korisnika – u konsolidiranom financijskom izvješću eliminirane su transakcije unutar podskupine 671, odnosno prihod koji su proračunski korisnici ostvarili uplatom iz nadležnog proračuna za financiranje rashoda ukupnog iznosa  560.886,44 </w:t>
      </w:r>
      <w:proofErr w:type="spellStart"/>
      <w:r>
        <w:t>eur</w:t>
      </w:r>
      <w:proofErr w:type="spellEnd"/>
      <w:r>
        <w:t xml:space="preserve">: CENTAR ZA KULTURU: 6711 - 48.398,26 </w:t>
      </w:r>
      <w:proofErr w:type="spellStart"/>
      <w:r>
        <w:t>eur</w:t>
      </w:r>
      <w:proofErr w:type="spellEnd"/>
      <w:r>
        <w:t xml:space="preserve">, 6712 - 3.268,61 </w:t>
      </w:r>
      <w:proofErr w:type="spellStart"/>
      <w:r>
        <w:t>eur</w:t>
      </w:r>
      <w:proofErr w:type="spellEnd"/>
      <w:r>
        <w:t xml:space="preserve"> DJEČJI VRTIĆ ZVONČIĆ: 6711 - 229.856,45 </w:t>
      </w:r>
      <w:proofErr w:type="spellStart"/>
      <w:r>
        <w:t>eur</w:t>
      </w:r>
      <w:proofErr w:type="spellEnd"/>
      <w:r>
        <w:t xml:space="preserve"> JAVNA VATROGASNA POSTROJBA: 6711 - 279.363,12 </w:t>
      </w:r>
      <w:proofErr w:type="spellStart"/>
      <w:r>
        <w:t>eur</w:t>
      </w:r>
      <w:proofErr w:type="spellEnd"/>
      <w:r>
        <w:t xml:space="preserve"> b) Šifra 367 – Prijenosi proračunskim korisnicima iz nadležnog proračuna za financiranje redovne djelatnosti – u konsolidiranom financijskom izvješću eliminirani su rashodi unutar podskupine 367 u iznosu 560.886,44 </w:t>
      </w:r>
      <w:proofErr w:type="spellStart"/>
      <w:r>
        <w:t>eur</w:t>
      </w:r>
      <w:proofErr w:type="spellEnd"/>
      <w:r>
        <w:t xml:space="preserve">. To su transakcije koje je Općina Čepin prenijela korisnicima: 3672 - 557.617,83 </w:t>
      </w:r>
      <w:proofErr w:type="spellStart"/>
      <w:r>
        <w:t>eur</w:t>
      </w:r>
      <w:proofErr w:type="spellEnd"/>
      <w:r>
        <w:t xml:space="preserve">, 3673 - 3.268,61 </w:t>
      </w:r>
      <w:proofErr w:type="spellStart"/>
      <w:r>
        <w:t>eur</w:t>
      </w:r>
      <w:proofErr w:type="spellEnd"/>
    </w:p>
    <w:p w14:paraId="02A68BEE" w14:textId="77777777" w:rsidR="008A3967" w:rsidRDefault="008A3967"/>
    <w:sectPr w:rsidR="008A3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67"/>
    <w:rsid w:val="008A3967"/>
    <w:rsid w:val="00DA672F"/>
    <w:rsid w:val="00ED34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71F3"/>
  <w15:docId w15:val="{397274EE-23CC-41FE-B52D-66D276E0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MC. Čolović</dc:creator>
  <cp:lastModifiedBy>Mateja MC. Čolović</cp:lastModifiedBy>
  <cp:revision>2</cp:revision>
  <dcterms:created xsi:type="dcterms:W3CDTF">2025-07-17T06:44:00Z</dcterms:created>
  <dcterms:modified xsi:type="dcterms:W3CDTF">2025-07-17T06:44:00Z</dcterms:modified>
</cp:coreProperties>
</file>